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DDB" w:rsidRPr="00C83DDB" w:rsidRDefault="00C83DDB" w:rsidP="0042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val="kk-KZ" w:bidi="ug-CN"/>
        </w:rPr>
      </w:pPr>
      <w:r w:rsidRPr="00C83DDB">
        <w:rPr>
          <w:rFonts w:ascii="Times New Roman" w:eastAsia="Times New Roman" w:hAnsi="Times New Roman" w:cs="Times New Roman"/>
          <w:sz w:val="24"/>
          <w:szCs w:val="24"/>
          <w:lang w:val="kk-KZ" w:bidi="ug-CN"/>
        </w:rPr>
        <w:t>3-қосымша</w:t>
      </w:r>
    </w:p>
    <w:p w:rsidR="00C83DDB" w:rsidRPr="00B775A8" w:rsidRDefault="00C83DDB" w:rsidP="004204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val="kk-KZ" w:bidi="ug-CN"/>
        </w:rPr>
      </w:pPr>
      <w:r w:rsidRPr="00C83DDB">
        <w:rPr>
          <w:rFonts w:ascii="Times New Roman" w:eastAsia="Times New Roman" w:hAnsi="Times New Roman" w:cs="Times New Roman"/>
          <w:sz w:val="24"/>
          <w:szCs w:val="24"/>
          <w:lang w:val="kk-KZ" w:bidi="ug-CN"/>
        </w:rPr>
        <w:t>баға ұсынысын сұрау арқылы сатып алуға</w:t>
      </w:r>
    </w:p>
    <w:p w:rsidR="00571D1D" w:rsidRPr="00B775A8" w:rsidRDefault="00571D1D" w:rsidP="00420409">
      <w:pPr>
        <w:spacing w:after="0" w:line="240" w:lineRule="auto"/>
        <w:ind w:left="3828"/>
        <w:jc w:val="right"/>
        <w:rPr>
          <w:rFonts w:ascii="Times New Roman" w:hAnsi="Times New Roman" w:cs="Times New Roman"/>
          <w:b/>
          <w:sz w:val="24"/>
          <w:szCs w:val="24"/>
          <w:lang w:val="kk-KZ"/>
        </w:rPr>
      </w:pPr>
    </w:p>
    <w:p w:rsidR="003F0779" w:rsidRPr="00B775A8" w:rsidRDefault="003F0779" w:rsidP="003F0779">
      <w:pPr>
        <w:spacing w:after="0" w:line="240" w:lineRule="auto"/>
        <w:ind w:left="3828"/>
        <w:rPr>
          <w:rFonts w:ascii="Times New Roman" w:hAnsi="Times New Roman" w:cs="Times New Roman"/>
          <w:b/>
          <w:sz w:val="24"/>
          <w:szCs w:val="24"/>
          <w:lang w:val="kk-KZ"/>
        </w:rPr>
      </w:pPr>
      <w:r w:rsidRPr="00B775A8">
        <w:rPr>
          <w:rFonts w:ascii="Times New Roman" w:hAnsi="Times New Roman" w:cs="Times New Roman"/>
          <w:b/>
          <w:sz w:val="24"/>
          <w:szCs w:val="24"/>
          <w:lang w:val="kk-KZ"/>
        </w:rPr>
        <w:t xml:space="preserve"> </w:t>
      </w:r>
    </w:p>
    <w:p w:rsidR="00420409" w:rsidRPr="00420409" w:rsidRDefault="00420409" w:rsidP="00420409">
      <w:pPr>
        <w:pStyle w:val="HTML"/>
        <w:jc w:val="center"/>
        <w:rPr>
          <w:rStyle w:val="y2iqfc"/>
          <w:rFonts w:ascii="Times New Roman" w:hAnsi="Times New Roman" w:cs="Times New Roman"/>
          <w:sz w:val="24"/>
          <w:szCs w:val="24"/>
          <w:lang w:val="kk-KZ"/>
        </w:rPr>
      </w:pPr>
      <w:r w:rsidRPr="00420409">
        <w:rPr>
          <w:rStyle w:val="y2iqfc"/>
          <w:rFonts w:ascii="Times New Roman" w:hAnsi="Times New Roman" w:cs="Times New Roman"/>
          <w:sz w:val="24"/>
          <w:szCs w:val="24"/>
          <w:lang w:val="kk-KZ"/>
        </w:rPr>
        <w:t>Техникалық сипаттама (техникалық тапсырма)</w:t>
      </w:r>
    </w:p>
    <w:p w:rsidR="00C83DDB" w:rsidRPr="00096171" w:rsidRDefault="00420409" w:rsidP="00420409">
      <w:pPr>
        <w:pStyle w:val="HTML"/>
        <w:jc w:val="center"/>
        <w:rPr>
          <w:rStyle w:val="y2iqfc"/>
          <w:rFonts w:ascii="Times New Roman" w:hAnsi="Times New Roman" w:cs="Times New Roman"/>
          <w:sz w:val="24"/>
          <w:szCs w:val="24"/>
          <w:lang w:val="kk-KZ"/>
        </w:rPr>
      </w:pPr>
      <w:r w:rsidRPr="00420409">
        <w:rPr>
          <w:rStyle w:val="y2iqfc"/>
          <w:rFonts w:ascii="Times New Roman" w:hAnsi="Times New Roman" w:cs="Times New Roman"/>
          <w:sz w:val="24"/>
          <w:szCs w:val="24"/>
          <w:lang w:val="kk-KZ"/>
        </w:rPr>
        <w:t xml:space="preserve">қазандықты қадағалау объектілерін мамандандырылған тексеру бойынша сатып алынған </w:t>
      </w:r>
      <w:r w:rsidRPr="00096171">
        <w:rPr>
          <w:rStyle w:val="y2iqfc"/>
          <w:rFonts w:ascii="Times New Roman" w:hAnsi="Times New Roman" w:cs="Times New Roman"/>
          <w:sz w:val="24"/>
          <w:szCs w:val="24"/>
          <w:lang w:val="kk-KZ"/>
        </w:rPr>
        <w:t xml:space="preserve">қызметтердің </w:t>
      </w:r>
    </w:p>
    <w:p w:rsidR="00C83DDB" w:rsidRPr="00096171" w:rsidRDefault="00C83DDB" w:rsidP="00420409">
      <w:pPr>
        <w:pStyle w:val="HTML"/>
        <w:jc w:val="center"/>
        <w:rPr>
          <w:rFonts w:ascii="Times New Roman" w:hAnsi="Times New Roman" w:cs="Times New Roman"/>
          <w:sz w:val="24"/>
          <w:szCs w:val="24"/>
        </w:rPr>
      </w:pPr>
      <w:r w:rsidRPr="00096171">
        <w:rPr>
          <w:rStyle w:val="y2iqfc"/>
          <w:rFonts w:ascii="Times New Roman" w:hAnsi="Times New Roman" w:cs="Times New Roman"/>
          <w:sz w:val="24"/>
          <w:szCs w:val="24"/>
          <w:lang w:val="kk-KZ"/>
        </w:rPr>
        <w:t>(ENS TRU коды 712019.000.000009)</w:t>
      </w:r>
    </w:p>
    <w:p w:rsidR="00F51524" w:rsidRPr="00096171" w:rsidRDefault="00F51524" w:rsidP="00F51524">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325"/>
        <w:gridCol w:w="5577"/>
      </w:tblGrid>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b/>
                <w:sz w:val="24"/>
                <w:szCs w:val="24"/>
              </w:rPr>
            </w:pPr>
            <w:r w:rsidRPr="00096171">
              <w:rPr>
                <w:rFonts w:ascii="Times New Roman" w:hAnsi="Times New Roman" w:cs="Times New Roman"/>
                <w:b/>
                <w:sz w:val="24"/>
                <w:szCs w:val="24"/>
              </w:rPr>
              <w:t>№ п/п</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Сипаттамалардың атауы</w:t>
            </w:r>
          </w:p>
          <w:p w:rsidR="00F51524" w:rsidRPr="00096171" w:rsidRDefault="00F51524" w:rsidP="00FA609A">
            <w:pPr>
              <w:spacing w:after="0" w:line="240" w:lineRule="auto"/>
              <w:jc w:val="center"/>
              <w:rPr>
                <w:rFonts w:ascii="Times New Roman" w:hAnsi="Times New Roman" w:cs="Times New Roman"/>
                <w:b/>
                <w:sz w:val="24"/>
                <w:szCs w:val="24"/>
              </w:rPr>
            </w:pPr>
          </w:p>
        </w:tc>
        <w:tc>
          <w:tcPr>
            <w:tcW w:w="5776"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Мүмкіндік мазмұны</w:t>
            </w:r>
          </w:p>
          <w:p w:rsidR="00F51524" w:rsidRPr="00096171" w:rsidRDefault="00F51524" w:rsidP="00FA609A">
            <w:pPr>
              <w:spacing w:after="0" w:line="240" w:lineRule="auto"/>
              <w:jc w:val="center"/>
              <w:rPr>
                <w:rFonts w:ascii="Times New Roman" w:hAnsi="Times New Roman" w:cs="Times New Roman"/>
                <w:b/>
                <w:sz w:val="24"/>
                <w:szCs w:val="24"/>
              </w:rPr>
            </w:pP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1.</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Қызмет көрсету</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tcPr>
          <w:p w:rsidR="00096171" w:rsidRPr="00096171" w:rsidRDefault="00B775A8" w:rsidP="00096171">
            <w:pPr>
              <w:pStyle w:val="HTML"/>
              <w:rPr>
                <w:rFonts w:ascii="Times New Roman" w:hAnsi="Times New Roman" w:cs="Times New Roman"/>
                <w:sz w:val="24"/>
                <w:szCs w:val="24"/>
              </w:rPr>
            </w:pPr>
            <w:r w:rsidRPr="00096171">
              <w:rPr>
                <w:rFonts w:ascii="Times New Roman" w:hAnsi="Times New Roman" w:cs="Times New Roman"/>
                <w:sz w:val="24"/>
                <w:szCs w:val="24"/>
              </w:rPr>
              <w:t xml:space="preserve"> </w:t>
            </w:r>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стандартты</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қызмет</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ету</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мерзімі</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аяқталған</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аспалы</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крандардың</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қауіпсіз</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пайдалану</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мерзімін</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ұзарту</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мүмкіндігін</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анықтау</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бойынша</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қызметтерді</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көрсету</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өнеркәсіптік</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қауіпсіздікті</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бағалауды</w:t>
            </w:r>
            <w:proofErr w:type="spellEnd"/>
            <w:r w:rsidR="00096171" w:rsidRPr="00096171">
              <w:rPr>
                <w:rFonts w:ascii="Times New Roman" w:hAnsi="Times New Roman" w:cs="Times New Roman"/>
                <w:sz w:val="24"/>
                <w:szCs w:val="24"/>
              </w:rPr>
              <w:t xml:space="preserve"> </w:t>
            </w:r>
            <w:proofErr w:type="spellStart"/>
            <w:r w:rsidR="00096171" w:rsidRPr="00096171">
              <w:rPr>
                <w:rFonts w:ascii="Times New Roman" w:hAnsi="Times New Roman" w:cs="Times New Roman"/>
                <w:sz w:val="24"/>
                <w:szCs w:val="24"/>
              </w:rPr>
              <w:t>жүргізу</w:t>
            </w:r>
            <w:proofErr w:type="spellEnd"/>
            <w:r w:rsidR="00096171" w:rsidRPr="00096171">
              <w:rPr>
                <w:rFonts w:ascii="Times New Roman" w:hAnsi="Times New Roman" w:cs="Times New Roman"/>
                <w:sz w:val="24"/>
                <w:szCs w:val="24"/>
              </w:rPr>
              <w:t>)</w:t>
            </w:r>
          </w:p>
          <w:p w:rsidR="00B775A8"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 Мақсаты – DGKu жүк вагоны кранының өнеркәсіптік қауіпсіздік бойынша сарапшылық қорытындысымен белгіленген пайдалану мерзімі өткеннен кейін одан әрі пайдалану шарттары мен мүмкіндігін анықтай отырып, өнеркәсіптік қауіпсіздік стандарттары мен ережелеріне сәйкестігін тексеру.</w:t>
            </w: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2.</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Объектінің қысқаша сипаттамасы</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F51524" w:rsidRPr="00096171" w:rsidRDefault="00B775A8" w:rsidP="00B775A8">
            <w:pPr>
              <w:pStyle w:val="HTML"/>
              <w:rPr>
                <w:rFonts w:ascii="Times New Roman" w:hAnsi="Times New Roman" w:cs="Times New Roman"/>
                <w:sz w:val="24"/>
                <w:szCs w:val="24"/>
              </w:rPr>
            </w:pPr>
            <w:bookmarkStart w:id="0" w:name="_GoBack"/>
            <w:bookmarkEnd w:id="0"/>
            <w:proofErr w:type="spellStart"/>
            <w:r w:rsidRPr="00096171">
              <w:rPr>
                <w:rFonts w:ascii="Times New Roman" w:hAnsi="Times New Roman" w:cs="Times New Roman"/>
                <w:sz w:val="24"/>
                <w:szCs w:val="24"/>
              </w:rPr>
              <w:t>Жүк</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көтергіштігі</w:t>
            </w:r>
            <w:proofErr w:type="spellEnd"/>
            <w:r w:rsidRPr="00096171">
              <w:rPr>
                <w:rFonts w:ascii="Times New Roman" w:hAnsi="Times New Roman" w:cs="Times New Roman"/>
                <w:sz w:val="24"/>
                <w:szCs w:val="24"/>
              </w:rPr>
              <w:t xml:space="preserve"> 3,5 тонна DGKU кран </w:t>
            </w:r>
            <w:proofErr w:type="spellStart"/>
            <w:r w:rsidRPr="00096171">
              <w:rPr>
                <w:rFonts w:ascii="Times New Roman" w:hAnsi="Times New Roman" w:cs="Times New Roman"/>
                <w:sz w:val="24"/>
                <w:szCs w:val="24"/>
              </w:rPr>
              <w:t>қондырғысы</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темір</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жолды</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жөндеу</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қалдықтарды</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шығару</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және</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жинау</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үшін</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пайдаланылады</w:t>
            </w:r>
            <w:proofErr w:type="spellEnd"/>
            <w:r w:rsidRPr="00096171">
              <w:rPr>
                <w:rFonts w:ascii="Times New Roman" w:hAnsi="Times New Roman" w:cs="Times New Roman"/>
                <w:sz w:val="24"/>
                <w:szCs w:val="24"/>
              </w:rPr>
              <w:t>);</w:t>
            </w: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3.</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Персоналға қойылатын талаптар</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B775A8" w:rsidRPr="00096171" w:rsidRDefault="00B775A8"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 Тиісті түрде аттестациядан өткен жоғары білікті сарапшылар, оның ішінде қызмет ету мерзімінің қалдық есептерін жүргізуге құқығы бар мамандар.</w:t>
            </w:r>
          </w:p>
          <w:p w:rsidR="00F51524" w:rsidRPr="00096171" w:rsidRDefault="00B775A8"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 сараптама және өнеркәсіптік қауіпсіздік сараптамасы бойынша жұмыстарды орындау үшін тиісті сертификатталған мамандар мен сарапшылар.</w:t>
            </w: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4.</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Әлеуетті өнім берушіге қойылатын талаптар</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tcPr>
          <w:p w:rsidR="00F51524" w:rsidRPr="00096171" w:rsidRDefault="00B775A8" w:rsidP="00B775A8">
            <w:pPr>
              <w:pStyle w:val="HTML"/>
              <w:rPr>
                <w:rFonts w:ascii="Times New Roman" w:hAnsi="Times New Roman"/>
                <w:sz w:val="24"/>
                <w:szCs w:val="24"/>
                <w:lang w:val="kk-KZ"/>
              </w:rPr>
            </w:pPr>
            <w:r w:rsidRPr="00096171">
              <w:rPr>
                <w:rFonts w:ascii="Times New Roman" w:hAnsi="Times New Roman"/>
                <w:sz w:val="24"/>
                <w:szCs w:val="24"/>
                <w:lang w:val="kk-KZ"/>
              </w:rPr>
              <w:t>Көтергіш құрылыстар саласындағы техникалық құрылғылардың өнеркәсіптік қауіпсіздігіне сараптама жүргізу және қысыммен жұмыс істейтін кемелерді тексеру бойынша қызметті жүзеге асыруға лицензияның болуы.</w:t>
            </w: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5.</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Тапсырмалар</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DB774D" w:rsidRPr="00096171" w:rsidRDefault="00B775A8"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Сараптама ұйымы өнеркәсіптік қауіпсіздік сараптамасының қорытындысын дайындайды және Тапсырыс берушіге ұсынады, онда аспалы крандардың, сондай-ақ қысыммен жұмыс істейтін кемелердің қауіпсіз пайдалану мерзімін ұзарту мүмкіндігі туралы қорытынды бар:</w:t>
            </w:r>
          </w:p>
          <w:p w:rsidR="00B775A8" w:rsidRPr="00096171" w:rsidRDefault="00B775A8"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Түзету іс-шараларын жүргізу қажет болған жағдайда Сараптамалық ұйым өнеркәсіптік қауіпсіздік сараптамасының қорытындысына қосымша болып табылатын техникалық құрылғыларды ұзақ мерзімге қауіпсіз пайдалануды қамтамасыз ету бойынша түзету іс-шараларының жоспарын әзірлейді.</w:t>
            </w:r>
          </w:p>
        </w:tc>
      </w:tr>
      <w:tr w:rsidR="00F51524" w:rsidRPr="00096171" w:rsidTr="00FA609A">
        <w:trPr>
          <w:trHeight w:val="1731"/>
        </w:trPr>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lastRenderedPageBreak/>
              <w:t>6.</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Қызметке қойылатын талаптар</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B775A8" w:rsidRPr="00096171" w:rsidRDefault="00B775A8"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 xml:space="preserve">Жұмыс басқару құжаттарының талаптарына сәйкес жүзеге асырылады: </w:t>
            </w:r>
          </w:p>
          <w:p w:rsidR="00B775A8"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1. «Қауіпті өндірістік объектілердің өнеркәсіптік қауіпсіздігі туралы» Федералдық заңы 21.07.97 ж. No 116-ФЗ (23.07.2010 ж. Федералдық заңдарының редакциясымен. No 171-ФЗ, 04.03.2013 ж. No 22-ФЗ).</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2. Өнеркәсіптік қауіпсіздік саласындағы федералды нормалар мен ережелерді бекіту туралы 2020 жылғы 26 қарашадағы № 461 «Көтергіш құрылыстарды пайдаланатын қауіпті өндірістік объектілердің қауіпсіздік ережелері» бұйрығы. Ресей Әділет министрлігінде 2020 жылғы 30 желтоқсанда тіркелді. Пер. № 61983.</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3. «Өнеркәсіптік қауіпсіздік сараптамасын жүргізу ережелері» Өнеркәсіптік қауіпсіздік саласындағы федералдық нормалар мен ережелерді бекіту туралы» Экологиялық, технологиялық және ядролық қадағалау Федералдық қызметінің 2020 жылғы 20 қазандағы № 420 бұйрығы. Ресей Федерациясының Әділет министрлігінде тіркелді. 11 желтоқсан 2020 ж. № 19.16.</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4. Өнеркәсіптік қауіпсіздік саласындағы федералдық нормалар мен ережелерді бекіту туралы 2020 жылғы 1 желтоқсандағы № 478 бұйрығы «Қауіпті өндірістік объектілердегі техникалық құрылғыларды, ғимараттар мен құрылыстарды бұзбайтын сынауға қойылатын негізгі талаптар», Ресей Әділет министрлігінде 2020 жылғы 24 желтоқсанда тіркелген Пер. № 61795.</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5. РД 10-197-98 Көтерме крандардың болтты және тойтармалы қосылыстарының техникалық жағдайын бағалау бойынша нұсқаулық.</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6. РОСТЕХНАДЗОР-ның 08.04.2019 жылғы «Өнеркәсіптік қауіпсіздік сараптамалық қорытындыларының тізілімін жүргізу бойынша мемлекеттік қызметті көрсету бойынша Экологиялық, технологиялық және ядролық қадағалау федералды қызметінің әкімшілік регламентін бекіту туралы» бұйрығы (Ресей Әділет министрлігінде 16.02.2019 ж.</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 xml:space="preserve">7. РФ Үкіметінің 18.12.2020 жылғы № 2168 "Өнеркәсіптік қауіпсіздік талаптарының сақталуына өндірістік бақылауды ұйымдастыру және жүзеге асыру ережелері" қаулысы. </w:t>
            </w:r>
          </w:p>
          <w:p w:rsidR="00096171" w:rsidRPr="00096171" w:rsidRDefault="00096171"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8. RD 36-62-00 Көтергіш жабдықтар. Жалпы техникалық талаптар.</w:t>
            </w:r>
          </w:p>
          <w:p w:rsidR="00096171"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9. RD 10-112-1-04. Көтергіш машиналарға сараптама жүргізу бойынша ұсыныстар. Жалпы ережелер.</w:t>
            </w:r>
          </w:p>
          <w:p w:rsidR="00096171"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 xml:space="preserve">10. РД 10-112.2-97 «Қызмет ету мерзімі өткен </w:t>
            </w:r>
            <w:r w:rsidRPr="00096171">
              <w:rPr>
                <w:rFonts w:ascii="Times New Roman" w:hAnsi="Times New Roman" w:cs="Times New Roman"/>
                <w:sz w:val="24"/>
                <w:szCs w:val="24"/>
                <w:lang w:val="kk-KZ"/>
              </w:rPr>
              <w:lastRenderedPageBreak/>
              <w:t>машиналарды сараптау бойынша әдістемелік нұсқаулар. 2 бөлім. Жалпы мақсаттағы жебелік крандар және көтергіш кран-манипуляторлар.</w:t>
            </w:r>
          </w:p>
          <w:p w:rsidR="00096171"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11. ГОСТ 34017-2016 Көтерме крандар. Жұмыс режимдерінің классификациясы.</w:t>
            </w:r>
          </w:p>
          <w:p w:rsidR="00096171"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12. ГОСТ 25835-83 Көтерме крандар. Жұмыс режимдері бойынша механизмдердің жіктелуі.</w:t>
            </w:r>
          </w:p>
          <w:p w:rsidR="00096171"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13. ГОСТ 28609-90 Көтерме крандар. Негізгі есептеу ережелері.</w:t>
            </w:r>
          </w:p>
          <w:p w:rsidR="00096171" w:rsidRPr="00096171" w:rsidRDefault="00096171" w:rsidP="00096171">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14. ГОСТ 34022-2016 Көтерме крандар. Операциялық құжаттар.</w:t>
            </w: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lastRenderedPageBreak/>
              <w:t>7.</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Қауіпсіздік және қоршаған орта</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F51524" w:rsidRPr="00096171" w:rsidRDefault="00B775A8" w:rsidP="00B775A8">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Қатты құрғақ теріге күтім жасау керек және тиісті гигиенаны қамтамасыз ету үшін мұқият болу керек. Zhetkіzushіn personalnel Tapsyrys earplugs aumagynda qoldanystagy ishkі enbek tartibin zhane baska erezhelerdi saktauy tis.</w:t>
            </w:r>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8.</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Қызметтің аяқталу уақыты</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F51524" w:rsidRPr="00096171" w:rsidRDefault="00B775A8" w:rsidP="00C83DDB">
            <w:pPr>
              <w:pStyle w:val="HTML"/>
              <w:rPr>
                <w:rFonts w:ascii="Times New Roman" w:hAnsi="Times New Roman" w:cs="Times New Roman"/>
                <w:sz w:val="24"/>
                <w:szCs w:val="24"/>
              </w:rPr>
            </w:pPr>
            <w:proofErr w:type="spellStart"/>
            <w:r w:rsidRPr="00096171">
              <w:rPr>
                <w:rFonts w:ascii="Times New Roman" w:hAnsi="Times New Roman" w:cs="Times New Roman"/>
                <w:sz w:val="24"/>
                <w:szCs w:val="24"/>
              </w:rPr>
              <w:t>Келісім</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күшіне</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енген</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күннен</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бастап</w:t>
            </w:r>
            <w:proofErr w:type="spellEnd"/>
            <w:r w:rsidRPr="00096171">
              <w:rPr>
                <w:rFonts w:ascii="Times New Roman" w:hAnsi="Times New Roman" w:cs="Times New Roman"/>
                <w:sz w:val="24"/>
                <w:szCs w:val="24"/>
              </w:rPr>
              <w:t xml:space="preserve"> 2025 </w:t>
            </w:r>
            <w:proofErr w:type="spellStart"/>
            <w:r w:rsidRPr="00096171">
              <w:rPr>
                <w:rFonts w:ascii="Times New Roman" w:hAnsi="Times New Roman" w:cs="Times New Roman"/>
                <w:sz w:val="24"/>
                <w:szCs w:val="24"/>
              </w:rPr>
              <w:t>жылдың</w:t>
            </w:r>
            <w:proofErr w:type="spellEnd"/>
            <w:r w:rsidRPr="00096171">
              <w:rPr>
                <w:rFonts w:ascii="Times New Roman" w:hAnsi="Times New Roman" w:cs="Times New Roman"/>
                <w:sz w:val="24"/>
                <w:szCs w:val="24"/>
              </w:rPr>
              <w:t xml:space="preserve"> 31 </w:t>
            </w:r>
            <w:proofErr w:type="spellStart"/>
            <w:r w:rsidRPr="00096171">
              <w:rPr>
                <w:rFonts w:ascii="Times New Roman" w:hAnsi="Times New Roman" w:cs="Times New Roman"/>
                <w:sz w:val="24"/>
                <w:szCs w:val="24"/>
              </w:rPr>
              <w:t>желтоқсанына</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дейін</w:t>
            </w:r>
            <w:proofErr w:type="spellEnd"/>
          </w:p>
        </w:tc>
      </w:tr>
      <w:tr w:rsidR="00F51524" w:rsidRPr="00096171" w:rsidTr="00FA609A">
        <w:tc>
          <w:tcPr>
            <w:tcW w:w="675" w:type="dxa"/>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9.</w:t>
            </w:r>
          </w:p>
        </w:tc>
        <w:tc>
          <w:tcPr>
            <w:tcW w:w="3402" w:type="dxa"/>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Персоналды оқытуға, кепілдікке және кепілдіктен кейінгі қызмет көрсетуге қойылатын талаптар (мерзімі, орны)</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shd w:val="clear" w:color="auto" w:fill="auto"/>
            <w:vAlign w:val="center"/>
          </w:tcPr>
          <w:p w:rsidR="00F51524" w:rsidRPr="00096171" w:rsidRDefault="00F51524" w:rsidP="00FA609A">
            <w:pPr>
              <w:spacing w:after="0" w:line="240" w:lineRule="auto"/>
              <w:jc w:val="both"/>
              <w:rPr>
                <w:rFonts w:ascii="Times New Roman" w:hAnsi="Times New Roman" w:cs="Times New Roman"/>
                <w:sz w:val="24"/>
                <w:szCs w:val="24"/>
              </w:rPr>
            </w:pPr>
            <w:r w:rsidRPr="00096171">
              <w:rPr>
                <w:rFonts w:ascii="Times New Roman" w:hAnsi="Times New Roman" w:cs="Times New Roman"/>
                <w:sz w:val="24"/>
                <w:szCs w:val="24"/>
              </w:rPr>
              <w:t>---------</w:t>
            </w:r>
          </w:p>
        </w:tc>
      </w:tr>
      <w:tr w:rsidR="00F51524" w:rsidRPr="00096171" w:rsidTr="00FA609A">
        <w:tc>
          <w:tcPr>
            <w:tcW w:w="675" w:type="dxa"/>
            <w:tcBorders>
              <w:bottom w:val="single" w:sz="4" w:space="0" w:color="auto"/>
            </w:tcBorders>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10.</w:t>
            </w:r>
          </w:p>
        </w:tc>
        <w:tc>
          <w:tcPr>
            <w:tcW w:w="3402" w:type="dxa"/>
            <w:tcBorders>
              <w:bottom w:val="single" w:sz="4" w:space="0" w:color="auto"/>
            </w:tcBorders>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Кепілдік мерзімі ішінде техникалық қызмет көрсету талаптары.</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tcBorders>
              <w:bottom w:val="single" w:sz="4" w:space="0" w:color="auto"/>
            </w:tcBorders>
            <w:shd w:val="clear" w:color="auto" w:fill="auto"/>
            <w:vAlign w:val="center"/>
          </w:tcPr>
          <w:p w:rsidR="00F51524" w:rsidRPr="00096171" w:rsidRDefault="00F51524" w:rsidP="00FA609A">
            <w:pPr>
              <w:spacing w:after="0" w:line="240" w:lineRule="auto"/>
              <w:rPr>
                <w:rFonts w:ascii="Times New Roman" w:hAnsi="Times New Roman" w:cs="Times New Roman"/>
                <w:sz w:val="24"/>
                <w:szCs w:val="24"/>
              </w:rPr>
            </w:pPr>
            <w:r w:rsidRPr="00096171">
              <w:rPr>
                <w:rFonts w:ascii="Times New Roman" w:hAnsi="Times New Roman" w:cs="Times New Roman"/>
                <w:sz w:val="24"/>
                <w:szCs w:val="24"/>
              </w:rPr>
              <w:t>---------</w:t>
            </w:r>
          </w:p>
        </w:tc>
      </w:tr>
      <w:tr w:rsidR="00F51524" w:rsidRPr="00096171" w:rsidTr="00FA609A">
        <w:trPr>
          <w:trHeight w:val="383"/>
        </w:trPr>
        <w:tc>
          <w:tcPr>
            <w:tcW w:w="675" w:type="dxa"/>
            <w:tcBorders>
              <w:bottom w:val="single" w:sz="4" w:space="0" w:color="auto"/>
            </w:tcBorders>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11.</w:t>
            </w:r>
          </w:p>
        </w:tc>
        <w:tc>
          <w:tcPr>
            <w:tcW w:w="3402" w:type="dxa"/>
            <w:tcBorders>
              <w:bottom w:val="single" w:sz="4" w:space="0" w:color="auto"/>
            </w:tcBorders>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Кепілдіктер</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tcBorders>
              <w:bottom w:val="single" w:sz="4" w:space="0" w:color="auto"/>
            </w:tcBorders>
            <w:shd w:val="clear" w:color="auto" w:fill="auto"/>
            <w:vAlign w:val="center"/>
          </w:tcPr>
          <w:p w:rsidR="00B775A8" w:rsidRPr="00096171" w:rsidRDefault="00B775A8" w:rsidP="00B775A8">
            <w:pPr>
              <w:pStyle w:val="HTML"/>
              <w:rPr>
                <w:rFonts w:ascii="Times New Roman" w:hAnsi="Times New Roman" w:cs="Times New Roman"/>
                <w:sz w:val="24"/>
                <w:szCs w:val="24"/>
              </w:rPr>
            </w:pPr>
            <w:proofErr w:type="spellStart"/>
            <w:r w:rsidRPr="00096171">
              <w:rPr>
                <w:rFonts w:ascii="Times New Roman" w:hAnsi="Times New Roman" w:cs="Times New Roman"/>
                <w:sz w:val="24"/>
                <w:szCs w:val="24"/>
              </w:rPr>
              <w:t>Жеткізуші</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кепілдік</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береді</w:t>
            </w:r>
            <w:proofErr w:type="spellEnd"/>
            <w:r w:rsidRPr="00096171">
              <w:rPr>
                <w:rFonts w:ascii="Times New Roman" w:hAnsi="Times New Roman" w:cs="Times New Roman"/>
                <w:sz w:val="24"/>
                <w:szCs w:val="24"/>
              </w:rPr>
              <w:t>:</w:t>
            </w:r>
          </w:p>
          <w:p w:rsidR="00F51524" w:rsidRPr="00096171" w:rsidRDefault="00B775A8" w:rsidP="00B775A8">
            <w:pPr>
              <w:pStyle w:val="HTML"/>
              <w:rPr>
                <w:rFonts w:ascii="Times New Roman" w:hAnsi="Times New Roman" w:cs="Times New Roman"/>
                <w:sz w:val="24"/>
                <w:szCs w:val="24"/>
              </w:rPr>
            </w:pPr>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жұмыс</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тәртібін</w:t>
            </w:r>
            <w:proofErr w:type="spellEnd"/>
            <w:r w:rsidRPr="00096171">
              <w:rPr>
                <w:rFonts w:ascii="Times New Roman" w:hAnsi="Times New Roman" w:cs="Times New Roman"/>
                <w:sz w:val="24"/>
                <w:szCs w:val="24"/>
              </w:rPr>
              <w:t xml:space="preserve"> </w:t>
            </w:r>
            <w:proofErr w:type="spellStart"/>
            <w:r w:rsidRPr="00096171">
              <w:rPr>
                <w:rFonts w:ascii="Times New Roman" w:hAnsi="Times New Roman" w:cs="Times New Roman"/>
                <w:sz w:val="24"/>
                <w:szCs w:val="24"/>
              </w:rPr>
              <w:t>сақтау</w:t>
            </w:r>
            <w:proofErr w:type="spellEnd"/>
          </w:p>
        </w:tc>
      </w:tr>
      <w:tr w:rsidR="00F51524" w:rsidRPr="00B775A8" w:rsidTr="00FA609A">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51524" w:rsidRPr="00096171" w:rsidRDefault="00F51524" w:rsidP="00FA609A">
            <w:pPr>
              <w:spacing w:after="0" w:line="240" w:lineRule="auto"/>
              <w:jc w:val="center"/>
              <w:rPr>
                <w:rFonts w:ascii="Times New Roman" w:hAnsi="Times New Roman" w:cs="Times New Roman"/>
                <w:sz w:val="24"/>
                <w:szCs w:val="24"/>
              </w:rPr>
            </w:pPr>
            <w:r w:rsidRPr="00096171">
              <w:rPr>
                <w:rFonts w:ascii="Times New Roman" w:hAnsi="Times New Roman" w:cs="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C83DDB" w:rsidRPr="00096171" w:rsidRDefault="00C83DDB" w:rsidP="00C83DDB">
            <w:pPr>
              <w:pStyle w:val="HTML"/>
              <w:rPr>
                <w:rFonts w:ascii="Times New Roman" w:hAnsi="Times New Roman" w:cs="Times New Roman"/>
                <w:sz w:val="24"/>
                <w:szCs w:val="24"/>
              </w:rPr>
            </w:pPr>
            <w:r w:rsidRPr="00096171">
              <w:rPr>
                <w:rStyle w:val="y2iqfc"/>
                <w:rFonts w:ascii="Times New Roman" w:hAnsi="Times New Roman" w:cs="Times New Roman"/>
                <w:sz w:val="24"/>
                <w:szCs w:val="24"/>
                <w:lang w:val="kk-KZ"/>
              </w:rPr>
              <w:t>Объектілер тізімі</w:t>
            </w:r>
          </w:p>
          <w:p w:rsidR="00F51524" w:rsidRPr="00096171" w:rsidRDefault="00F51524" w:rsidP="00FA609A">
            <w:pPr>
              <w:spacing w:after="0" w:line="240" w:lineRule="auto"/>
              <w:jc w:val="center"/>
              <w:rPr>
                <w:rFonts w:ascii="Times New Roman" w:hAnsi="Times New Roman" w:cs="Times New Roman"/>
                <w:sz w:val="24"/>
                <w:szCs w:val="24"/>
              </w:rPr>
            </w:pPr>
          </w:p>
        </w:tc>
        <w:tc>
          <w:tcPr>
            <w:tcW w:w="5776" w:type="dxa"/>
            <w:tcBorders>
              <w:top w:val="single" w:sz="4" w:space="0" w:color="auto"/>
              <w:left w:val="single" w:sz="4" w:space="0" w:color="auto"/>
              <w:bottom w:val="single" w:sz="4" w:space="0" w:color="auto"/>
              <w:right w:val="single" w:sz="4" w:space="0" w:color="auto"/>
            </w:tcBorders>
            <w:shd w:val="clear" w:color="auto" w:fill="auto"/>
            <w:vAlign w:val="center"/>
          </w:tcPr>
          <w:p w:rsidR="001F4FA5" w:rsidRPr="006957BC" w:rsidRDefault="00B775A8" w:rsidP="00C83DDB">
            <w:pPr>
              <w:pStyle w:val="HTML"/>
              <w:rPr>
                <w:rFonts w:ascii="Times New Roman" w:hAnsi="Times New Roman" w:cs="Times New Roman"/>
                <w:sz w:val="24"/>
                <w:szCs w:val="24"/>
                <w:lang w:val="kk-KZ"/>
              </w:rPr>
            </w:pPr>
            <w:r w:rsidRPr="00096171">
              <w:rPr>
                <w:rFonts w:ascii="Times New Roman" w:hAnsi="Times New Roman" w:cs="Times New Roman"/>
                <w:sz w:val="24"/>
                <w:szCs w:val="24"/>
                <w:lang w:val="kk-KZ"/>
              </w:rPr>
              <w:t>Жүк көтергіштігі 3,5 тонна ДГКу кран қондырғысы 2 бірлік ст. Неверовская</w:t>
            </w:r>
          </w:p>
        </w:tc>
      </w:tr>
    </w:tbl>
    <w:p w:rsidR="00F51524" w:rsidRDefault="00F51524" w:rsidP="00F51524">
      <w:pPr>
        <w:jc w:val="center"/>
        <w:rPr>
          <w:rFonts w:ascii="Times New Roman" w:eastAsia="Calibri" w:hAnsi="Times New Roman" w:cs="Times New Roman"/>
          <w:b/>
          <w:sz w:val="28"/>
          <w:szCs w:val="28"/>
          <w:lang w:val="kk-KZ"/>
        </w:rPr>
      </w:pPr>
    </w:p>
    <w:p w:rsidR="00096171" w:rsidRPr="00096171" w:rsidRDefault="00096171" w:rsidP="00096171">
      <w:pPr>
        <w:spacing w:after="0" w:line="240" w:lineRule="atLeast"/>
        <w:rPr>
          <w:rFonts w:ascii="Times New Roman" w:eastAsia="Calibri" w:hAnsi="Times New Roman" w:cs="Times New Roman"/>
          <w:b/>
          <w:sz w:val="28"/>
          <w:szCs w:val="28"/>
          <w:lang w:val="kk-KZ"/>
        </w:rPr>
      </w:pPr>
      <w:r w:rsidRPr="00096171">
        <w:rPr>
          <w:rFonts w:ascii="Times New Roman" w:eastAsia="Calibri" w:hAnsi="Times New Roman" w:cs="Times New Roman"/>
          <w:b/>
          <w:sz w:val="28"/>
          <w:szCs w:val="28"/>
          <w:lang w:val="kk-KZ"/>
        </w:rPr>
        <w:t xml:space="preserve">Өндірістік-техникалық </w:t>
      </w:r>
    </w:p>
    <w:p w:rsidR="00434677" w:rsidRPr="00096171" w:rsidRDefault="00096171" w:rsidP="00096171">
      <w:pPr>
        <w:spacing w:after="0" w:line="240" w:lineRule="atLeast"/>
        <w:rPr>
          <w:rFonts w:ascii="Times New Roman" w:eastAsia="Calibri" w:hAnsi="Times New Roman" w:cs="Times New Roman"/>
          <w:b/>
          <w:sz w:val="28"/>
          <w:szCs w:val="28"/>
          <w:lang w:val="kk-KZ"/>
        </w:rPr>
      </w:pPr>
      <w:r w:rsidRPr="00096171">
        <w:rPr>
          <w:rFonts w:ascii="Times New Roman" w:eastAsia="Calibri" w:hAnsi="Times New Roman" w:cs="Times New Roman"/>
          <w:b/>
          <w:sz w:val="28"/>
          <w:szCs w:val="28"/>
          <w:lang w:val="kk-KZ"/>
        </w:rPr>
        <w:t>бөлімнің бастығы                                                                         Е.А. Медведева</w:t>
      </w:r>
    </w:p>
    <w:p w:rsidR="00F51524" w:rsidRPr="001F4FA5" w:rsidRDefault="00F51524" w:rsidP="00F51524">
      <w:pPr>
        <w:jc w:val="center"/>
        <w:rPr>
          <w:rFonts w:ascii="Times New Roman" w:eastAsia="Calibri" w:hAnsi="Times New Roman" w:cs="Times New Roman"/>
          <w:b/>
          <w:sz w:val="28"/>
          <w:szCs w:val="28"/>
          <w:lang w:val="kk-KZ"/>
        </w:rPr>
      </w:pPr>
    </w:p>
    <w:p w:rsidR="00D12FE0" w:rsidRPr="001F4FA5" w:rsidRDefault="00D12FE0">
      <w:pPr>
        <w:rPr>
          <w:lang w:val="kk-KZ"/>
        </w:rPr>
      </w:pPr>
    </w:p>
    <w:sectPr w:rsidR="00D12FE0" w:rsidRPr="001F4FA5"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455E6"/>
    <w:multiLevelType w:val="hybridMultilevel"/>
    <w:tmpl w:val="9DE04260"/>
    <w:lvl w:ilvl="0" w:tplc="FD7878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F51524"/>
    <w:rsid w:val="00064B47"/>
    <w:rsid w:val="00072998"/>
    <w:rsid w:val="00096171"/>
    <w:rsid w:val="0010334F"/>
    <w:rsid w:val="00153BEA"/>
    <w:rsid w:val="001A28DA"/>
    <w:rsid w:val="001F4FA5"/>
    <w:rsid w:val="00207CBC"/>
    <w:rsid w:val="002C15CB"/>
    <w:rsid w:val="00304258"/>
    <w:rsid w:val="00316EAC"/>
    <w:rsid w:val="003472B1"/>
    <w:rsid w:val="003F0779"/>
    <w:rsid w:val="0040220C"/>
    <w:rsid w:val="004053B4"/>
    <w:rsid w:val="00420409"/>
    <w:rsid w:val="00434677"/>
    <w:rsid w:val="00571D1D"/>
    <w:rsid w:val="0058705F"/>
    <w:rsid w:val="005D4D07"/>
    <w:rsid w:val="005F4784"/>
    <w:rsid w:val="006957BC"/>
    <w:rsid w:val="006F7BCD"/>
    <w:rsid w:val="007F0D97"/>
    <w:rsid w:val="00911D6C"/>
    <w:rsid w:val="00927B7C"/>
    <w:rsid w:val="009C3C26"/>
    <w:rsid w:val="00A24AB4"/>
    <w:rsid w:val="00B04C89"/>
    <w:rsid w:val="00B31C46"/>
    <w:rsid w:val="00B775A8"/>
    <w:rsid w:val="00C83DDB"/>
    <w:rsid w:val="00D12FE0"/>
    <w:rsid w:val="00DA5118"/>
    <w:rsid w:val="00DB774D"/>
    <w:rsid w:val="00E55158"/>
    <w:rsid w:val="00F51524"/>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F4B449-5268-4000-9847-0E14CD9F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CBC"/>
  </w:style>
  <w:style w:type="paragraph" w:styleId="4">
    <w:name w:val="heading 4"/>
    <w:basedOn w:val="a"/>
    <w:next w:val="a"/>
    <w:link w:val="40"/>
    <w:uiPriority w:val="9"/>
    <w:semiHidden/>
    <w:unhideWhenUsed/>
    <w:qFormat/>
    <w:rsid w:val="00F51524"/>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F51524"/>
    <w:rPr>
      <w:rFonts w:ascii="Calibri" w:eastAsia="Times New Roman" w:hAnsi="Calibri" w:cs="Times New Roman"/>
      <w:b/>
      <w:bCs/>
      <w:sz w:val="28"/>
      <w:szCs w:val="28"/>
    </w:rPr>
  </w:style>
  <w:style w:type="paragraph" w:styleId="a3">
    <w:name w:val="No Spacing"/>
    <w:uiPriority w:val="1"/>
    <w:qFormat/>
    <w:rsid w:val="00F51524"/>
    <w:pPr>
      <w:spacing w:after="0" w:line="240" w:lineRule="auto"/>
    </w:pPr>
    <w:rPr>
      <w:rFonts w:ascii="Calibri" w:eastAsia="Times New Roman" w:hAnsi="Calibri" w:cs="Times New Roman"/>
    </w:rPr>
  </w:style>
  <w:style w:type="character" w:customStyle="1" w:styleId="apple-converted-space">
    <w:name w:val="apple-converted-space"/>
    <w:basedOn w:val="a0"/>
    <w:rsid w:val="00F51524"/>
  </w:style>
  <w:style w:type="paragraph" w:styleId="a4">
    <w:name w:val="Balloon Text"/>
    <w:basedOn w:val="a"/>
    <w:link w:val="a5"/>
    <w:uiPriority w:val="99"/>
    <w:semiHidden/>
    <w:unhideWhenUsed/>
    <w:rsid w:val="00571D1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571D1D"/>
    <w:rPr>
      <w:rFonts w:ascii="Segoe UI" w:hAnsi="Segoe UI" w:cs="Segoe UI"/>
      <w:sz w:val="18"/>
      <w:szCs w:val="18"/>
    </w:rPr>
  </w:style>
  <w:style w:type="paragraph" w:styleId="HTML">
    <w:name w:val="HTML Preformatted"/>
    <w:basedOn w:val="a"/>
    <w:link w:val="HTML0"/>
    <w:uiPriority w:val="99"/>
    <w:unhideWhenUsed/>
    <w:rsid w:val="00C83D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ug-CN"/>
    </w:rPr>
  </w:style>
  <w:style w:type="character" w:customStyle="1" w:styleId="HTML0">
    <w:name w:val="Стандартный HTML Знак"/>
    <w:basedOn w:val="a0"/>
    <w:link w:val="HTML"/>
    <w:uiPriority w:val="99"/>
    <w:rsid w:val="00C83DDB"/>
    <w:rPr>
      <w:rFonts w:ascii="Courier New" w:eastAsia="Times New Roman" w:hAnsi="Courier New" w:cs="Courier New"/>
      <w:sz w:val="20"/>
      <w:szCs w:val="20"/>
      <w:lang w:bidi="ug-CN"/>
    </w:rPr>
  </w:style>
  <w:style w:type="character" w:customStyle="1" w:styleId="y2iqfc">
    <w:name w:val="y2iqfc"/>
    <w:basedOn w:val="a0"/>
    <w:rsid w:val="00C83D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915645">
      <w:bodyDiv w:val="1"/>
      <w:marLeft w:val="0"/>
      <w:marRight w:val="0"/>
      <w:marTop w:val="0"/>
      <w:marBottom w:val="0"/>
      <w:divBdr>
        <w:top w:val="none" w:sz="0" w:space="0" w:color="auto"/>
        <w:left w:val="none" w:sz="0" w:space="0" w:color="auto"/>
        <w:bottom w:val="none" w:sz="0" w:space="0" w:color="auto"/>
        <w:right w:val="none" w:sz="0" w:space="0" w:color="auto"/>
      </w:divBdr>
    </w:div>
    <w:div w:id="166797731">
      <w:bodyDiv w:val="1"/>
      <w:marLeft w:val="0"/>
      <w:marRight w:val="0"/>
      <w:marTop w:val="0"/>
      <w:marBottom w:val="0"/>
      <w:divBdr>
        <w:top w:val="none" w:sz="0" w:space="0" w:color="auto"/>
        <w:left w:val="none" w:sz="0" w:space="0" w:color="auto"/>
        <w:bottom w:val="none" w:sz="0" w:space="0" w:color="auto"/>
        <w:right w:val="none" w:sz="0" w:space="0" w:color="auto"/>
      </w:divBdr>
    </w:div>
    <w:div w:id="173108628">
      <w:bodyDiv w:val="1"/>
      <w:marLeft w:val="0"/>
      <w:marRight w:val="0"/>
      <w:marTop w:val="0"/>
      <w:marBottom w:val="0"/>
      <w:divBdr>
        <w:top w:val="none" w:sz="0" w:space="0" w:color="auto"/>
        <w:left w:val="none" w:sz="0" w:space="0" w:color="auto"/>
        <w:bottom w:val="none" w:sz="0" w:space="0" w:color="auto"/>
        <w:right w:val="none" w:sz="0" w:space="0" w:color="auto"/>
      </w:divBdr>
    </w:div>
    <w:div w:id="258955702">
      <w:bodyDiv w:val="1"/>
      <w:marLeft w:val="0"/>
      <w:marRight w:val="0"/>
      <w:marTop w:val="0"/>
      <w:marBottom w:val="0"/>
      <w:divBdr>
        <w:top w:val="none" w:sz="0" w:space="0" w:color="auto"/>
        <w:left w:val="none" w:sz="0" w:space="0" w:color="auto"/>
        <w:bottom w:val="none" w:sz="0" w:space="0" w:color="auto"/>
        <w:right w:val="none" w:sz="0" w:space="0" w:color="auto"/>
      </w:divBdr>
      <w:divsChild>
        <w:div w:id="2053654303">
          <w:marLeft w:val="0"/>
          <w:marRight w:val="0"/>
          <w:marTop w:val="0"/>
          <w:marBottom w:val="0"/>
          <w:divBdr>
            <w:top w:val="none" w:sz="0" w:space="0" w:color="auto"/>
            <w:left w:val="none" w:sz="0" w:space="0" w:color="auto"/>
            <w:bottom w:val="none" w:sz="0" w:space="0" w:color="auto"/>
            <w:right w:val="none" w:sz="0" w:space="0" w:color="auto"/>
          </w:divBdr>
        </w:div>
      </w:divsChild>
    </w:div>
    <w:div w:id="319047017">
      <w:bodyDiv w:val="1"/>
      <w:marLeft w:val="0"/>
      <w:marRight w:val="0"/>
      <w:marTop w:val="0"/>
      <w:marBottom w:val="0"/>
      <w:divBdr>
        <w:top w:val="none" w:sz="0" w:space="0" w:color="auto"/>
        <w:left w:val="none" w:sz="0" w:space="0" w:color="auto"/>
        <w:bottom w:val="none" w:sz="0" w:space="0" w:color="auto"/>
        <w:right w:val="none" w:sz="0" w:space="0" w:color="auto"/>
      </w:divBdr>
      <w:divsChild>
        <w:div w:id="2014608420">
          <w:marLeft w:val="0"/>
          <w:marRight w:val="0"/>
          <w:marTop w:val="0"/>
          <w:marBottom w:val="0"/>
          <w:divBdr>
            <w:top w:val="none" w:sz="0" w:space="0" w:color="auto"/>
            <w:left w:val="none" w:sz="0" w:space="0" w:color="auto"/>
            <w:bottom w:val="none" w:sz="0" w:space="0" w:color="auto"/>
            <w:right w:val="none" w:sz="0" w:space="0" w:color="auto"/>
          </w:divBdr>
        </w:div>
      </w:divsChild>
    </w:div>
    <w:div w:id="489029810">
      <w:bodyDiv w:val="1"/>
      <w:marLeft w:val="0"/>
      <w:marRight w:val="0"/>
      <w:marTop w:val="0"/>
      <w:marBottom w:val="0"/>
      <w:divBdr>
        <w:top w:val="none" w:sz="0" w:space="0" w:color="auto"/>
        <w:left w:val="none" w:sz="0" w:space="0" w:color="auto"/>
        <w:bottom w:val="none" w:sz="0" w:space="0" w:color="auto"/>
        <w:right w:val="none" w:sz="0" w:space="0" w:color="auto"/>
      </w:divBdr>
    </w:div>
    <w:div w:id="493641719">
      <w:bodyDiv w:val="1"/>
      <w:marLeft w:val="0"/>
      <w:marRight w:val="0"/>
      <w:marTop w:val="0"/>
      <w:marBottom w:val="0"/>
      <w:divBdr>
        <w:top w:val="none" w:sz="0" w:space="0" w:color="auto"/>
        <w:left w:val="none" w:sz="0" w:space="0" w:color="auto"/>
        <w:bottom w:val="none" w:sz="0" w:space="0" w:color="auto"/>
        <w:right w:val="none" w:sz="0" w:space="0" w:color="auto"/>
      </w:divBdr>
    </w:div>
    <w:div w:id="531693910">
      <w:bodyDiv w:val="1"/>
      <w:marLeft w:val="0"/>
      <w:marRight w:val="0"/>
      <w:marTop w:val="0"/>
      <w:marBottom w:val="0"/>
      <w:divBdr>
        <w:top w:val="none" w:sz="0" w:space="0" w:color="auto"/>
        <w:left w:val="none" w:sz="0" w:space="0" w:color="auto"/>
        <w:bottom w:val="none" w:sz="0" w:space="0" w:color="auto"/>
        <w:right w:val="none" w:sz="0" w:space="0" w:color="auto"/>
      </w:divBdr>
    </w:div>
    <w:div w:id="627129972">
      <w:bodyDiv w:val="1"/>
      <w:marLeft w:val="0"/>
      <w:marRight w:val="0"/>
      <w:marTop w:val="0"/>
      <w:marBottom w:val="0"/>
      <w:divBdr>
        <w:top w:val="none" w:sz="0" w:space="0" w:color="auto"/>
        <w:left w:val="none" w:sz="0" w:space="0" w:color="auto"/>
        <w:bottom w:val="none" w:sz="0" w:space="0" w:color="auto"/>
        <w:right w:val="none" w:sz="0" w:space="0" w:color="auto"/>
      </w:divBdr>
    </w:div>
    <w:div w:id="665861029">
      <w:bodyDiv w:val="1"/>
      <w:marLeft w:val="0"/>
      <w:marRight w:val="0"/>
      <w:marTop w:val="0"/>
      <w:marBottom w:val="0"/>
      <w:divBdr>
        <w:top w:val="none" w:sz="0" w:space="0" w:color="auto"/>
        <w:left w:val="none" w:sz="0" w:space="0" w:color="auto"/>
        <w:bottom w:val="none" w:sz="0" w:space="0" w:color="auto"/>
        <w:right w:val="none" w:sz="0" w:space="0" w:color="auto"/>
      </w:divBdr>
    </w:div>
    <w:div w:id="722828478">
      <w:bodyDiv w:val="1"/>
      <w:marLeft w:val="0"/>
      <w:marRight w:val="0"/>
      <w:marTop w:val="0"/>
      <w:marBottom w:val="0"/>
      <w:divBdr>
        <w:top w:val="none" w:sz="0" w:space="0" w:color="auto"/>
        <w:left w:val="none" w:sz="0" w:space="0" w:color="auto"/>
        <w:bottom w:val="none" w:sz="0" w:space="0" w:color="auto"/>
        <w:right w:val="none" w:sz="0" w:space="0" w:color="auto"/>
      </w:divBdr>
    </w:div>
    <w:div w:id="863327296">
      <w:bodyDiv w:val="1"/>
      <w:marLeft w:val="0"/>
      <w:marRight w:val="0"/>
      <w:marTop w:val="0"/>
      <w:marBottom w:val="0"/>
      <w:divBdr>
        <w:top w:val="none" w:sz="0" w:space="0" w:color="auto"/>
        <w:left w:val="none" w:sz="0" w:space="0" w:color="auto"/>
        <w:bottom w:val="none" w:sz="0" w:space="0" w:color="auto"/>
        <w:right w:val="none" w:sz="0" w:space="0" w:color="auto"/>
      </w:divBdr>
    </w:div>
    <w:div w:id="904335698">
      <w:bodyDiv w:val="1"/>
      <w:marLeft w:val="0"/>
      <w:marRight w:val="0"/>
      <w:marTop w:val="0"/>
      <w:marBottom w:val="0"/>
      <w:divBdr>
        <w:top w:val="none" w:sz="0" w:space="0" w:color="auto"/>
        <w:left w:val="none" w:sz="0" w:space="0" w:color="auto"/>
        <w:bottom w:val="none" w:sz="0" w:space="0" w:color="auto"/>
        <w:right w:val="none" w:sz="0" w:space="0" w:color="auto"/>
      </w:divBdr>
    </w:div>
    <w:div w:id="1177962673">
      <w:bodyDiv w:val="1"/>
      <w:marLeft w:val="0"/>
      <w:marRight w:val="0"/>
      <w:marTop w:val="0"/>
      <w:marBottom w:val="0"/>
      <w:divBdr>
        <w:top w:val="none" w:sz="0" w:space="0" w:color="auto"/>
        <w:left w:val="none" w:sz="0" w:space="0" w:color="auto"/>
        <w:bottom w:val="none" w:sz="0" w:space="0" w:color="auto"/>
        <w:right w:val="none" w:sz="0" w:space="0" w:color="auto"/>
      </w:divBdr>
    </w:div>
    <w:div w:id="1217162428">
      <w:bodyDiv w:val="1"/>
      <w:marLeft w:val="0"/>
      <w:marRight w:val="0"/>
      <w:marTop w:val="0"/>
      <w:marBottom w:val="0"/>
      <w:divBdr>
        <w:top w:val="none" w:sz="0" w:space="0" w:color="auto"/>
        <w:left w:val="none" w:sz="0" w:space="0" w:color="auto"/>
        <w:bottom w:val="none" w:sz="0" w:space="0" w:color="auto"/>
        <w:right w:val="none" w:sz="0" w:space="0" w:color="auto"/>
      </w:divBdr>
    </w:div>
    <w:div w:id="1241670974">
      <w:bodyDiv w:val="1"/>
      <w:marLeft w:val="0"/>
      <w:marRight w:val="0"/>
      <w:marTop w:val="0"/>
      <w:marBottom w:val="0"/>
      <w:divBdr>
        <w:top w:val="none" w:sz="0" w:space="0" w:color="auto"/>
        <w:left w:val="none" w:sz="0" w:space="0" w:color="auto"/>
        <w:bottom w:val="none" w:sz="0" w:space="0" w:color="auto"/>
        <w:right w:val="none" w:sz="0" w:space="0" w:color="auto"/>
      </w:divBdr>
    </w:div>
    <w:div w:id="1328902920">
      <w:bodyDiv w:val="1"/>
      <w:marLeft w:val="0"/>
      <w:marRight w:val="0"/>
      <w:marTop w:val="0"/>
      <w:marBottom w:val="0"/>
      <w:divBdr>
        <w:top w:val="none" w:sz="0" w:space="0" w:color="auto"/>
        <w:left w:val="none" w:sz="0" w:space="0" w:color="auto"/>
        <w:bottom w:val="none" w:sz="0" w:space="0" w:color="auto"/>
        <w:right w:val="none" w:sz="0" w:space="0" w:color="auto"/>
      </w:divBdr>
    </w:div>
    <w:div w:id="1353265781">
      <w:bodyDiv w:val="1"/>
      <w:marLeft w:val="0"/>
      <w:marRight w:val="0"/>
      <w:marTop w:val="0"/>
      <w:marBottom w:val="0"/>
      <w:divBdr>
        <w:top w:val="none" w:sz="0" w:space="0" w:color="auto"/>
        <w:left w:val="none" w:sz="0" w:space="0" w:color="auto"/>
        <w:bottom w:val="none" w:sz="0" w:space="0" w:color="auto"/>
        <w:right w:val="none" w:sz="0" w:space="0" w:color="auto"/>
      </w:divBdr>
      <w:divsChild>
        <w:div w:id="1745639772">
          <w:marLeft w:val="0"/>
          <w:marRight w:val="0"/>
          <w:marTop w:val="0"/>
          <w:marBottom w:val="0"/>
          <w:divBdr>
            <w:top w:val="none" w:sz="0" w:space="0" w:color="auto"/>
            <w:left w:val="none" w:sz="0" w:space="0" w:color="auto"/>
            <w:bottom w:val="none" w:sz="0" w:space="0" w:color="auto"/>
            <w:right w:val="none" w:sz="0" w:space="0" w:color="auto"/>
          </w:divBdr>
        </w:div>
      </w:divsChild>
    </w:div>
    <w:div w:id="1433745204">
      <w:bodyDiv w:val="1"/>
      <w:marLeft w:val="0"/>
      <w:marRight w:val="0"/>
      <w:marTop w:val="0"/>
      <w:marBottom w:val="0"/>
      <w:divBdr>
        <w:top w:val="none" w:sz="0" w:space="0" w:color="auto"/>
        <w:left w:val="none" w:sz="0" w:space="0" w:color="auto"/>
        <w:bottom w:val="none" w:sz="0" w:space="0" w:color="auto"/>
        <w:right w:val="none" w:sz="0" w:space="0" w:color="auto"/>
      </w:divBdr>
    </w:div>
    <w:div w:id="1495411565">
      <w:bodyDiv w:val="1"/>
      <w:marLeft w:val="0"/>
      <w:marRight w:val="0"/>
      <w:marTop w:val="0"/>
      <w:marBottom w:val="0"/>
      <w:divBdr>
        <w:top w:val="none" w:sz="0" w:space="0" w:color="auto"/>
        <w:left w:val="none" w:sz="0" w:space="0" w:color="auto"/>
        <w:bottom w:val="none" w:sz="0" w:space="0" w:color="auto"/>
        <w:right w:val="none" w:sz="0" w:space="0" w:color="auto"/>
      </w:divBdr>
    </w:div>
    <w:div w:id="1556162547">
      <w:bodyDiv w:val="1"/>
      <w:marLeft w:val="0"/>
      <w:marRight w:val="0"/>
      <w:marTop w:val="0"/>
      <w:marBottom w:val="0"/>
      <w:divBdr>
        <w:top w:val="none" w:sz="0" w:space="0" w:color="auto"/>
        <w:left w:val="none" w:sz="0" w:space="0" w:color="auto"/>
        <w:bottom w:val="none" w:sz="0" w:space="0" w:color="auto"/>
        <w:right w:val="none" w:sz="0" w:space="0" w:color="auto"/>
      </w:divBdr>
    </w:div>
    <w:div w:id="1576474786">
      <w:bodyDiv w:val="1"/>
      <w:marLeft w:val="0"/>
      <w:marRight w:val="0"/>
      <w:marTop w:val="0"/>
      <w:marBottom w:val="0"/>
      <w:divBdr>
        <w:top w:val="none" w:sz="0" w:space="0" w:color="auto"/>
        <w:left w:val="none" w:sz="0" w:space="0" w:color="auto"/>
        <w:bottom w:val="none" w:sz="0" w:space="0" w:color="auto"/>
        <w:right w:val="none" w:sz="0" w:space="0" w:color="auto"/>
      </w:divBdr>
    </w:div>
    <w:div w:id="1630470917">
      <w:bodyDiv w:val="1"/>
      <w:marLeft w:val="0"/>
      <w:marRight w:val="0"/>
      <w:marTop w:val="0"/>
      <w:marBottom w:val="0"/>
      <w:divBdr>
        <w:top w:val="none" w:sz="0" w:space="0" w:color="auto"/>
        <w:left w:val="none" w:sz="0" w:space="0" w:color="auto"/>
        <w:bottom w:val="none" w:sz="0" w:space="0" w:color="auto"/>
        <w:right w:val="none" w:sz="0" w:space="0" w:color="auto"/>
      </w:divBdr>
    </w:div>
    <w:div w:id="1638955493">
      <w:bodyDiv w:val="1"/>
      <w:marLeft w:val="0"/>
      <w:marRight w:val="0"/>
      <w:marTop w:val="0"/>
      <w:marBottom w:val="0"/>
      <w:divBdr>
        <w:top w:val="none" w:sz="0" w:space="0" w:color="auto"/>
        <w:left w:val="none" w:sz="0" w:space="0" w:color="auto"/>
        <w:bottom w:val="none" w:sz="0" w:space="0" w:color="auto"/>
        <w:right w:val="none" w:sz="0" w:space="0" w:color="auto"/>
      </w:divBdr>
    </w:div>
    <w:div w:id="1802839379">
      <w:bodyDiv w:val="1"/>
      <w:marLeft w:val="0"/>
      <w:marRight w:val="0"/>
      <w:marTop w:val="0"/>
      <w:marBottom w:val="0"/>
      <w:divBdr>
        <w:top w:val="none" w:sz="0" w:space="0" w:color="auto"/>
        <w:left w:val="none" w:sz="0" w:space="0" w:color="auto"/>
        <w:bottom w:val="none" w:sz="0" w:space="0" w:color="auto"/>
        <w:right w:val="none" w:sz="0" w:space="0" w:color="auto"/>
      </w:divBdr>
    </w:div>
    <w:div w:id="1898586605">
      <w:bodyDiv w:val="1"/>
      <w:marLeft w:val="0"/>
      <w:marRight w:val="0"/>
      <w:marTop w:val="0"/>
      <w:marBottom w:val="0"/>
      <w:divBdr>
        <w:top w:val="none" w:sz="0" w:space="0" w:color="auto"/>
        <w:left w:val="none" w:sz="0" w:space="0" w:color="auto"/>
        <w:bottom w:val="none" w:sz="0" w:space="0" w:color="auto"/>
        <w:right w:val="none" w:sz="0" w:space="0" w:color="auto"/>
      </w:divBdr>
    </w:div>
    <w:div w:id="2011448680">
      <w:bodyDiv w:val="1"/>
      <w:marLeft w:val="0"/>
      <w:marRight w:val="0"/>
      <w:marTop w:val="0"/>
      <w:marBottom w:val="0"/>
      <w:divBdr>
        <w:top w:val="none" w:sz="0" w:space="0" w:color="auto"/>
        <w:left w:val="none" w:sz="0" w:space="0" w:color="auto"/>
        <w:bottom w:val="none" w:sz="0" w:space="0" w:color="auto"/>
        <w:right w:val="none" w:sz="0" w:space="0" w:color="auto"/>
      </w:divBdr>
    </w:div>
    <w:div w:id="2025159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798</Words>
  <Characters>4553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23</cp:revision>
  <cp:lastPrinted>2023-07-10T04:28:00Z</cp:lastPrinted>
  <dcterms:created xsi:type="dcterms:W3CDTF">2018-09-03T02:42:00Z</dcterms:created>
  <dcterms:modified xsi:type="dcterms:W3CDTF">2025-09-02T08:15:00Z</dcterms:modified>
</cp:coreProperties>
</file>